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6A" w:rsidRPr="0021236A" w:rsidRDefault="0021236A" w:rsidP="0021236A">
      <w:pPr>
        <w:pageBreakBefore/>
        <w:shd w:val="clear" w:color="auto" w:fill="002060"/>
        <w:spacing w:after="200" w:line="276" w:lineRule="auto"/>
        <w:ind w:right="-285"/>
        <w:jc w:val="center"/>
        <w:outlineLvl w:val="0"/>
        <w:rPr>
          <w:rFonts w:ascii="Calibri" w:eastAsia="SimSun" w:hAnsi="Calibri"/>
          <w:b/>
          <w:color w:val="FFFFFF"/>
        </w:rPr>
      </w:pPr>
      <w:r w:rsidRPr="0021236A">
        <w:rPr>
          <w:rFonts w:eastAsia="SimSun" w:cs="Calibri"/>
          <w:color w:val="00000A"/>
          <w:szCs w:val="22"/>
        </w:rPr>
        <w:fldChar w:fldCharType="begin"/>
      </w:r>
      <w:r w:rsidRPr="0021236A">
        <w:rPr>
          <w:rFonts w:eastAsia="SimSun" w:cs="Calibri"/>
          <w:color w:val="00000A"/>
          <w:szCs w:val="22"/>
        </w:rPr>
        <w:instrText xml:space="preserve"> HYPERLINK \l "List_of_indicators" </w:instrText>
      </w:r>
      <w:r w:rsidRPr="0021236A">
        <w:rPr>
          <w:rFonts w:eastAsia="SimSun" w:cs="Calibri"/>
          <w:color w:val="00000A"/>
          <w:szCs w:val="22"/>
        </w:rPr>
        <w:fldChar w:fldCharType="separate"/>
      </w:r>
      <w:r w:rsidRPr="0021236A">
        <w:rPr>
          <w:rFonts w:ascii="Calibri" w:eastAsia="SimSun" w:hAnsi="Calibri"/>
          <w:b/>
          <w:color w:val="FFFFFF"/>
          <w:u w:val="single"/>
        </w:rPr>
        <w:t>Target 7.3</w:t>
      </w:r>
      <w:r w:rsidRPr="0021236A">
        <w:rPr>
          <w:rFonts w:ascii="Calibri" w:eastAsia="SimSun" w:hAnsi="Calibri"/>
          <w:b/>
          <w:color w:val="FFFFFF"/>
          <w:u w:val="single"/>
        </w:rPr>
        <w:fldChar w:fldCharType="end"/>
      </w:r>
      <w:r w:rsidRPr="0021236A">
        <w:rPr>
          <w:rFonts w:ascii="Calibri" w:eastAsia="SimSun" w:hAnsi="Calibri"/>
          <w:b/>
          <w:color w:val="FFFFFF"/>
        </w:rPr>
        <w:t xml:space="preserve"> </w:t>
      </w:r>
      <w:r w:rsidRPr="0021236A">
        <w:rPr>
          <w:rFonts w:ascii="Calibri" w:eastAsia="SimSun" w:hAnsi="Calibri"/>
          <w:b/>
          <w:color w:val="FFFFFF"/>
        </w:rPr>
        <w:br/>
        <w:t>“By 2030, double the global rate of improvement in energy efficiency”</w:t>
      </w:r>
    </w:p>
    <w:p w:rsidR="0021236A" w:rsidRPr="0021236A" w:rsidRDefault="0021236A" w:rsidP="0021236A">
      <w:pPr>
        <w:spacing w:after="200" w:line="276" w:lineRule="auto"/>
        <w:ind w:right="-285"/>
        <w:jc w:val="center"/>
        <w:rPr>
          <w:rFonts w:eastAsia="SimSun" w:cs="Calibri"/>
          <w:color w:val="00000A"/>
          <w:szCs w:val="22"/>
        </w:rPr>
      </w:pPr>
    </w:p>
    <w:bookmarkStart w:id="0" w:name="Indicator_7_3_1"/>
    <w:p w:rsidR="0021236A" w:rsidRPr="0021236A" w:rsidRDefault="0021236A" w:rsidP="0021236A">
      <w:pPr>
        <w:shd w:val="clear" w:color="auto" w:fill="99FF99"/>
        <w:spacing w:after="200" w:line="276" w:lineRule="auto"/>
        <w:ind w:right="-285"/>
        <w:jc w:val="center"/>
        <w:rPr>
          <w:rFonts w:ascii="Calibri" w:eastAsia="SimSun" w:hAnsi="Calibri"/>
          <w:b/>
          <w:color w:val="auto"/>
        </w:rPr>
      </w:pPr>
      <w:r w:rsidRPr="0021236A">
        <w:rPr>
          <w:rFonts w:eastAsia="SimSun" w:cs="Calibri"/>
          <w:color w:val="auto"/>
          <w:szCs w:val="22"/>
        </w:rPr>
        <w:fldChar w:fldCharType="begin"/>
      </w:r>
      <w:r w:rsidRPr="0021236A">
        <w:rPr>
          <w:rFonts w:eastAsia="SimSun" w:cs="Calibri"/>
          <w:color w:val="auto"/>
          <w:szCs w:val="22"/>
        </w:rPr>
        <w:instrText>HYPERLINK \l "List_of_indicators"</w:instrText>
      </w:r>
      <w:r w:rsidRPr="0021236A">
        <w:rPr>
          <w:rFonts w:eastAsia="SimSun" w:cs="Calibri"/>
          <w:color w:val="auto"/>
          <w:szCs w:val="22"/>
        </w:rPr>
        <w:fldChar w:fldCharType="separate"/>
      </w:r>
      <w:r w:rsidRPr="0021236A">
        <w:rPr>
          <w:rFonts w:ascii="Calibri" w:eastAsia="SimSun" w:hAnsi="Calibri"/>
          <w:b/>
          <w:color w:val="auto"/>
        </w:rPr>
        <w:t>Indicator 7.3.1</w:t>
      </w:r>
      <w:r w:rsidRPr="0021236A">
        <w:rPr>
          <w:rFonts w:eastAsia="SimSun" w:cs="Calibri"/>
          <w:color w:val="auto"/>
          <w:szCs w:val="22"/>
        </w:rPr>
        <w:fldChar w:fldCharType="end"/>
      </w:r>
      <w:r w:rsidRPr="0021236A">
        <w:rPr>
          <w:rFonts w:ascii="Calibri" w:eastAsia="SimSun" w:hAnsi="Calibri"/>
          <w:b/>
          <w:color w:val="auto"/>
        </w:rPr>
        <w:t xml:space="preserve"> </w:t>
      </w:r>
      <w:bookmarkEnd w:id="0"/>
      <w:r w:rsidRPr="0021236A">
        <w:rPr>
          <w:rFonts w:ascii="Calibri" w:eastAsia="SimSun" w:hAnsi="Calibri"/>
          <w:b/>
          <w:color w:val="auto"/>
        </w:rPr>
        <w:t>(Additional</w:t>
      </w:r>
      <w:proofErr w:type="gramStart"/>
      <w:r w:rsidRPr="0021236A">
        <w:rPr>
          <w:rFonts w:ascii="Calibri" w:eastAsia="SimSun" w:hAnsi="Calibri"/>
          <w:b/>
          <w:color w:val="auto"/>
        </w:rPr>
        <w:t>)</w:t>
      </w:r>
      <w:proofErr w:type="gramEnd"/>
      <w:r w:rsidRPr="0021236A">
        <w:rPr>
          <w:rFonts w:ascii="Calibri" w:eastAsia="SimSun" w:hAnsi="Calibri"/>
          <w:b/>
          <w:color w:val="auto"/>
        </w:rPr>
        <w:br/>
        <w:t>“</w:t>
      </w:r>
      <w:r w:rsidRPr="0021236A">
        <w:rPr>
          <w:rFonts w:ascii="Calibri" w:eastAsia="SimSun" w:hAnsi="Calibri"/>
          <w:color w:val="auto"/>
        </w:rPr>
        <w:t>Fossil fuel energy directly used in agriculture per hectare of arable land/per unit of value of output/per calorie of food produced (to be normalized by levels of capital stock of machinery per unit of arable land</w:t>
      </w:r>
      <w:r w:rsidRPr="0021236A">
        <w:rPr>
          <w:rFonts w:ascii="Calibri" w:eastAsia="SimSun" w:hAnsi="Calibri"/>
          <w:b/>
          <w:color w:val="auto"/>
        </w:rPr>
        <w:t>”</w:t>
      </w:r>
    </w:p>
    <w:p w:rsidR="0021236A" w:rsidRPr="0021236A" w:rsidRDefault="0021236A" w:rsidP="0021236A">
      <w:pPr>
        <w:numPr>
          <w:ilvl w:val="0"/>
          <w:numId w:val="1"/>
        </w:numPr>
        <w:suppressAutoHyphens/>
        <w:spacing w:before="480" w:after="200" w:line="276" w:lineRule="auto"/>
        <w:ind w:right="-285"/>
        <w:jc w:val="both"/>
        <w:rPr>
          <w:rFonts w:ascii="Calibri" w:eastAsia="Times New Roman" w:hAnsi="Calibri"/>
          <w:b/>
          <w:bCs/>
          <w:color w:val="auto"/>
          <w:sz w:val="22"/>
          <w:szCs w:val="22"/>
        </w:rPr>
      </w:pPr>
      <w:r w:rsidRPr="0021236A">
        <w:rPr>
          <w:rFonts w:ascii="Calibri" w:eastAsia="Times New Roman" w:hAnsi="Calibri"/>
          <w:b/>
          <w:bCs/>
          <w:color w:val="auto"/>
          <w:sz w:val="22"/>
          <w:szCs w:val="22"/>
        </w:rPr>
        <w:t xml:space="preserve">What is the </w:t>
      </w:r>
      <w:r w:rsidRPr="0021236A">
        <w:rPr>
          <w:rFonts w:ascii="Calibri" w:eastAsia="Times New Roman" w:hAnsi="Calibri"/>
          <w:b/>
          <w:bCs/>
          <w:i/>
          <w:iCs/>
          <w:color w:val="auto"/>
          <w:sz w:val="22"/>
          <w:szCs w:val="22"/>
        </w:rPr>
        <w:t>precise</w:t>
      </w:r>
      <w:r w:rsidRPr="0021236A">
        <w:rPr>
          <w:rFonts w:ascii="Calibri" w:eastAsia="Times New Roman" w:hAnsi="Calibri"/>
          <w:b/>
          <w:bCs/>
          <w:color w:val="auto"/>
          <w:sz w:val="22"/>
          <w:szCs w:val="22"/>
        </w:rPr>
        <w:t xml:space="preserve"> definition of the indicator?</w:t>
      </w:r>
    </w:p>
    <w:p w:rsidR="0021236A" w:rsidRPr="0021236A" w:rsidRDefault="0021236A" w:rsidP="0021236A">
      <w:pPr>
        <w:spacing w:line="276" w:lineRule="auto"/>
        <w:ind w:left="720" w:right="-285"/>
        <w:jc w:val="both"/>
        <w:rPr>
          <w:rFonts w:ascii="Calibri" w:eastAsia="Times New Roman" w:hAnsi="Calibri"/>
          <w:b/>
          <w:bCs/>
          <w:color w:val="auto"/>
          <w:sz w:val="22"/>
          <w:szCs w:val="22"/>
        </w:rPr>
      </w:pP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This is a family of 3 energy intensity indicators for agriculture:</w:t>
      </w:r>
    </w:p>
    <w:p w:rsidR="0021236A" w:rsidRPr="0021236A" w:rsidRDefault="0021236A" w:rsidP="0021236A">
      <w:pPr>
        <w:numPr>
          <w:ilvl w:val="0"/>
          <w:numId w:val="2"/>
        </w:numPr>
        <w:suppressAutoHyphens/>
        <w:spacing w:after="120" w:line="276" w:lineRule="auto"/>
        <w:ind w:right="-285"/>
        <w:contextualSpacing/>
        <w:jc w:val="both"/>
        <w:rPr>
          <w:rFonts w:ascii="Calibri" w:eastAsia="Calibri" w:hAnsi="Calibri"/>
          <w:color w:val="auto"/>
          <w:sz w:val="22"/>
          <w:szCs w:val="22"/>
        </w:rPr>
      </w:pPr>
      <w:r w:rsidRPr="0021236A">
        <w:rPr>
          <w:rFonts w:ascii="Calibri" w:eastAsia="Calibri" w:hAnsi="Calibri"/>
          <w:color w:val="auto"/>
          <w:sz w:val="22"/>
          <w:szCs w:val="22"/>
        </w:rPr>
        <w:t>Indicator (</w:t>
      </w:r>
      <w:proofErr w:type="spellStart"/>
      <w:r w:rsidRPr="0021236A">
        <w:rPr>
          <w:rFonts w:ascii="Calibri" w:eastAsia="Calibri" w:hAnsi="Calibri"/>
          <w:color w:val="auto"/>
          <w:sz w:val="22"/>
          <w:szCs w:val="22"/>
        </w:rPr>
        <w:t>i</w:t>
      </w:r>
      <w:proofErr w:type="spellEnd"/>
      <w:r w:rsidRPr="0021236A">
        <w:rPr>
          <w:rFonts w:ascii="Calibri" w:eastAsia="Calibri" w:hAnsi="Calibri"/>
          <w:color w:val="auto"/>
          <w:sz w:val="22"/>
          <w:szCs w:val="22"/>
        </w:rPr>
        <w:t>) = all energy from fossil fuels used in agriculture + share of energy in form of electricity from fossil sources / arable land (ideally to be normalized by levels of capital stock of machinery per unit of arable land)</w:t>
      </w:r>
    </w:p>
    <w:p w:rsidR="0021236A" w:rsidRPr="0021236A" w:rsidRDefault="0021236A" w:rsidP="0021236A">
      <w:pPr>
        <w:numPr>
          <w:ilvl w:val="0"/>
          <w:numId w:val="2"/>
        </w:numPr>
        <w:suppressAutoHyphens/>
        <w:spacing w:after="120" w:line="276" w:lineRule="auto"/>
        <w:ind w:right="-285"/>
        <w:contextualSpacing/>
        <w:jc w:val="both"/>
        <w:rPr>
          <w:rFonts w:ascii="Calibri" w:eastAsia="Calibri" w:hAnsi="Calibri"/>
          <w:color w:val="auto"/>
          <w:sz w:val="22"/>
          <w:szCs w:val="22"/>
        </w:rPr>
      </w:pPr>
      <w:r w:rsidRPr="0021236A">
        <w:rPr>
          <w:rFonts w:ascii="Calibri" w:eastAsia="Calibri" w:hAnsi="Calibri"/>
          <w:color w:val="auto"/>
          <w:sz w:val="22"/>
          <w:szCs w:val="22"/>
        </w:rPr>
        <w:t>Indicator (ii) = all energy from fossil fuels used in agriculture + share of energy in form of electricity from fossil sources / gross production value (constant I$) of Food (PIN) (ideally to be normalized by levels of capital stock of machinery per unit of arable land)</w:t>
      </w:r>
    </w:p>
    <w:p w:rsidR="0021236A" w:rsidRPr="0021236A" w:rsidRDefault="0021236A" w:rsidP="0021236A">
      <w:pPr>
        <w:numPr>
          <w:ilvl w:val="0"/>
          <w:numId w:val="2"/>
        </w:numPr>
        <w:suppressAutoHyphens/>
        <w:spacing w:after="120" w:line="276" w:lineRule="auto"/>
        <w:ind w:right="-285"/>
        <w:contextualSpacing/>
        <w:jc w:val="both"/>
        <w:rPr>
          <w:rFonts w:ascii="Calibri" w:eastAsia="Calibri" w:hAnsi="Calibri"/>
          <w:color w:val="auto"/>
          <w:sz w:val="22"/>
          <w:szCs w:val="22"/>
        </w:rPr>
      </w:pPr>
      <w:r w:rsidRPr="0021236A">
        <w:rPr>
          <w:rFonts w:ascii="Calibri" w:eastAsia="Calibri" w:hAnsi="Calibri"/>
          <w:color w:val="auto"/>
          <w:sz w:val="22"/>
          <w:szCs w:val="22"/>
        </w:rPr>
        <w:t>Indicator (iii) = all energy from fossil fuels used in agriculture + share of energy in form of electricity from fossil sources / kcal of food supply (ideally to be normalized by levels of capital stock of machinery per unit of arable land)</w:t>
      </w:r>
    </w:p>
    <w:p w:rsidR="0021236A" w:rsidRPr="0021236A" w:rsidRDefault="0021236A" w:rsidP="0021236A">
      <w:pPr>
        <w:numPr>
          <w:ilvl w:val="0"/>
          <w:numId w:val="1"/>
        </w:numPr>
        <w:suppressAutoHyphens/>
        <w:spacing w:before="480" w:after="200" w:line="276" w:lineRule="auto"/>
        <w:ind w:left="714" w:right="-285" w:hanging="357"/>
        <w:jc w:val="both"/>
        <w:rPr>
          <w:rFonts w:ascii="Calibri" w:eastAsia="Times New Roman" w:hAnsi="Calibri"/>
          <w:b/>
          <w:bCs/>
          <w:color w:val="auto"/>
          <w:sz w:val="22"/>
          <w:szCs w:val="22"/>
        </w:rPr>
      </w:pPr>
      <w:r w:rsidRPr="0021236A">
        <w:rPr>
          <w:rFonts w:ascii="Calibri" w:eastAsia="Times New Roman" w:hAnsi="Calibri"/>
          <w:b/>
          <w:bCs/>
          <w:color w:val="auto"/>
          <w:sz w:val="22"/>
          <w:szCs w:val="22"/>
        </w:rPr>
        <w:t>How is the indicator linked to the specific TARGET as worded in the OWG Report?</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 xml:space="preserve">This indicator measures the fossil energy intensity of agriculture, in terms of fossil fuel used per hectare of arable land, per value of food produced (USD), and per dietary energy intake (kcal). </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The concept of ‘energy efficiency’ in agriculture can be interpreted as ‘energy intensity’ for the production of the certain goods. In other words improving energy efficiency ultimately results in producing the same agricultural products using less energy (fossil fuels directly used in the agriculture sector in this case). The indicator does not consider the fossil fuel needed to manufacture agricultural inputs such as fertilizers, pesticides and machinery.</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 xml:space="preserve">If the indicator goes down (i.e. energy intensity goes down), it means that the overall energy efficiency of agriculture production is improving. This </w:t>
      </w:r>
      <w:r w:rsidRPr="0021236A">
        <w:rPr>
          <w:rFonts w:ascii="Calibri" w:eastAsia="Calibri" w:hAnsi="Calibri"/>
          <w:color w:val="auto"/>
          <w:sz w:val="22"/>
          <w:szCs w:val="22"/>
          <w:u w:val="single"/>
        </w:rPr>
        <w:t>directly</w:t>
      </w:r>
      <w:r w:rsidRPr="0021236A">
        <w:rPr>
          <w:rFonts w:ascii="Calibri" w:eastAsia="Calibri" w:hAnsi="Calibri"/>
          <w:color w:val="auto"/>
          <w:sz w:val="22"/>
          <w:szCs w:val="22"/>
        </w:rPr>
        <w:t xml:space="preserve"> relates to the OWG target 7.3.</w:t>
      </w:r>
    </w:p>
    <w:p w:rsidR="0021236A" w:rsidRPr="0021236A" w:rsidRDefault="0021236A" w:rsidP="0021236A">
      <w:pPr>
        <w:numPr>
          <w:ilvl w:val="0"/>
          <w:numId w:val="1"/>
        </w:numPr>
        <w:suppressAutoHyphens/>
        <w:spacing w:before="480" w:after="200" w:line="276" w:lineRule="auto"/>
        <w:ind w:left="714" w:right="-285" w:hanging="357"/>
        <w:jc w:val="both"/>
        <w:rPr>
          <w:rFonts w:ascii="Calibri" w:eastAsia="Times New Roman" w:hAnsi="Calibri"/>
          <w:b/>
          <w:bCs/>
          <w:color w:val="auto"/>
          <w:sz w:val="22"/>
          <w:szCs w:val="22"/>
        </w:rPr>
      </w:pPr>
      <w:r w:rsidRPr="0021236A">
        <w:rPr>
          <w:rFonts w:ascii="Calibri" w:eastAsia="Times New Roman" w:hAnsi="Calibri"/>
          <w:b/>
          <w:bCs/>
          <w:color w:val="auto"/>
          <w:sz w:val="22"/>
          <w:szCs w:val="22"/>
        </w:rPr>
        <w:t>Does the indicator already exist and is it regularly reported?</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The indicator does not exist as such yet but can be calculated using FAOSTAT data. Discussions are ongoing in FAO on the possibility of including this indicator among others under the ‘Agro-environmental indicators’ domain of FAOSTAT.</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 xml:space="preserve">Based on UNSD and IEA data, in FAOSTAT disseminates information on joules (for main fuels) and kWh (for total electricity) used in agriculture. The UNSD and IEA collect yearly information on electricity and </w:t>
      </w:r>
      <w:r w:rsidRPr="0021236A">
        <w:rPr>
          <w:rFonts w:ascii="Calibri" w:eastAsia="Calibri" w:hAnsi="Calibri"/>
          <w:color w:val="auto"/>
          <w:sz w:val="22"/>
          <w:szCs w:val="22"/>
        </w:rPr>
        <w:lastRenderedPageBreak/>
        <w:t xml:space="preserve">fuels (with different units) consumed by the agricultural sector. This latter includes also forestry and fisheries. In FAOSTAT there is a breakdown for energy from main fuels used in fisheries, that allow to estimate energy used in agriculture </w:t>
      </w:r>
      <w:proofErr w:type="spellStart"/>
      <w:r w:rsidRPr="0021236A">
        <w:rPr>
          <w:rFonts w:ascii="Calibri" w:eastAsia="Calibri" w:hAnsi="Calibri"/>
          <w:i/>
          <w:iCs/>
          <w:color w:val="auto"/>
          <w:sz w:val="22"/>
          <w:szCs w:val="22"/>
        </w:rPr>
        <w:t>strictu</w:t>
      </w:r>
      <w:proofErr w:type="spellEnd"/>
      <w:r w:rsidRPr="0021236A">
        <w:rPr>
          <w:rFonts w:ascii="Calibri" w:eastAsia="Calibri" w:hAnsi="Calibri"/>
          <w:i/>
          <w:iCs/>
          <w:color w:val="auto"/>
          <w:sz w:val="22"/>
          <w:szCs w:val="22"/>
        </w:rPr>
        <w:t xml:space="preserve"> </w:t>
      </w:r>
      <w:proofErr w:type="spellStart"/>
      <w:r w:rsidRPr="0021236A">
        <w:rPr>
          <w:rFonts w:ascii="Calibri" w:eastAsia="Calibri" w:hAnsi="Calibri"/>
          <w:i/>
          <w:iCs/>
          <w:color w:val="auto"/>
          <w:sz w:val="22"/>
          <w:szCs w:val="22"/>
        </w:rPr>
        <w:t>sensu</w:t>
      </w:r>
      <w:proofErr w:type="spellEnd"/>
      <w:r w:rsidRPr="0021236A">
        <w:rPr>
          <w:rFonts w:ascii="Calibri" w:eastAsia="Calibri" w:hAnsi="Calibri"/>
          <w:color w:val="auto"/>
          <w:sz w:val="22"/>
          <w:szCs w:val="22"/>
        </w:rPr>
        <w:t>. Time series start from around 1970.</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In FAOSTAT energy information are currently under the ‘Emissions’ domain.</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Metadata for what is in FAOSTAT on energy can be found under: Emissions/Agriculture/Energy use. The original metadata can be found on UNDATA and from IEA (the latter for fuels used in fisheries).</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 xml:space="preserve">Other non-energy metadata (i.e. arable land and gross production value) can be found in FAOSTAT. Metadata on energy in food supply is </w:t>
      </w:r>
      <w:proofErr w:type="gramStart"/>
      <w:r w:rsidRPr="0021236A">
        <w:rPr>
          <w:rFonts w:ascii="Calibri" w:eastAsia="Calibri" w:hAnsi="Calibri"/>
          <w:color w:val="auto"/>
          <w:sz w:val="22"/>
          <w:szCs w:val="22"/>
        </w:rPr>
        <w:t>upcoming</w:t>
      </w:r>
      <w:proofErr w:type="gramEnd"/>
      <w:r w:rsidRPr="0021236A">
        <w:rPr>
          <w:rFonts w:ascii="Calibri" w:eastAsia="Calibri" w:hAnsi="Calibri"/>
          <w:color w:val="auto"/>
          <w:sz w:val="22"/>
          <w:szCs w:val="22"/>
        </w:rPr>
        <w:t xml:space="preserve"> in the Food Balance Sheet section of FAOSTAT.</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We already calculated these indicators from the above sources, but more work is needed to normalize the data to mechanization levels. This can be done on the basis of the ‘number of machinery in use’ from FAOSTAT.</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The indicator can be further refined including all the fossil fuels used in agriculture going back to the original data collected by UNSD and IEA, and not just the ‘main ones’ as reported in FAOSTAT.</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Data are already collected yearly (UNSD, IEA, FAO). Country coverage is not global, but is gradually increasing over time.</w:t>
      </w:r>
    </w:p>
    <w:p w:rsidR="0021236A" w:rsidRPr="0021236A" w:rsidRDefault="0021236A" w:rsidP="0021236A">
      <w:pPr>
        <w:numPr>
          <w:ilvl w:val="0"/>
          <w:numId w:val="1"/>
        </w:numPr>
        <w:suppressAutoHyphens/>
        <w:spacing w:before="480" w:after="200" w:line="276" w:lineRule="auto"/>
        <w:ind w:left="714" w:right="-285" w:hanging="357"/>
        <w:jc w:val="both"/>
        <w:rPr>
          <w:rFonts w:ascii="Calibri" w:eastAsia="Times New Roman" w:hAnsi="Calibri"/>
          <w:b/>
          <w:bCs/>
          <w:color w:val="auto"/>
          <w:sz w:val="22"/>
          <w:szCs w:val="22"/>
        </w:rPr>
      </w:pPr>
      <w:r w:rsidRPr="0021236A">
        <w:rPr>
          <w:rFonts w:ascii="Calibri" w:eastAsia="Times New Roman" w:hAnsi="Calibri"/>
          <w:b/>
          <w:bCs/>
          <w:color w:val="auto"/>
          <w:sz w:val="22"/>
          <w:szCs w:val="22"/>
        </w:rPr>
        <w:t>Comment on the reliability, potential coverage, comparability across countries, and the possibility to compute the indicator at sub-national level.</w:t>
      </w:r>
    </w:p>
    <w:p w:rsidR="0021236A" w:rsidRPr="0021236A" w:rsidRDefault="0021236A" w:rsidP="0021236A">
      <w:pPr>
        <w:spacing w:line="276" w:lineRule="auto"/>
        <w:ind w:left="357" w:right="-285"/>
        <w:jc w:val="both"/>
        <w:rPr>
          <w:rFonts w:ascii="Calibri" w:eastAsia="Times New Roman" w:hAnsi="Calibri"/>
          <w:b/>
          <w:bCs/>
          <w:color w:val="auto"/>
          <w:sz w:val="22"/>
          <w:szCs w:val="22"/>
        </w:rPr>
      </w:pPr>
    </w:p>
    <w:p w:rsidR="0021236A" w:rsidRPr="0021236A" w:rsidRDefault="0021236A" w:rsidP="0021236A">
      <w:pPr>
        <w:spacing w:after="120" w:line="276" w:lineRule="auto"/>
        <w:ind w:right="-285"/>
        <w:jc w:val="both"/>
        <w:rPr>
          <w:rFonts w:ascii="Calibri" w:eastAsia="Calibri" w:hAnsi="Calibri"/>
          <w:color w:val="auto"/>
          <w:sz w:val="22"/>
          <w:szCs w:val="22"/>
          <w:u w:val="single"/>
        </w:rPr>
      </w:pPr>
      <w:r w:rsidRPr="0021236A">
        <w:rPr>
          <w:rFonts w:ascii="Calibri" w:eastAsia="Calibri" w:hAnsi="Calibri"/>
          <w:color w:val="auto"/>
          <w:sz w:val="22"/>
          <w:szCs w:val="22"/>
          <w:u w:val="single"/>
        </w:rPr>
        <w:t>Reliability</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Information on the reliability and uncertainty of the original energy data is not available as far as we know.</w:t>
      </w: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The reliability of the above mentioned FAOSTAT/production and FAOSTAT/inputs datasets is not known.</w:t>
      </w:r>
    </w:p>
    <w:p w:rsidR="0021236A" w:rsidRPr="0021236A" w:rsidRDefault="0021236A" w:rsidP="0021236A">
      <w:pPr>
        <w:spacing w:line="276" w:lineRule="auto"/>
        <w:ind w:right="-285"/>
        <w:jc w:val="both"/>
        <w:rPr>
          <w:rFonts w:ascii="Calibri" w:eastAsia="Calibri" w:hAnsi="Calibri"/>
          <w:bCs/>
          <w:iCs/>
          <w:color w:val="auto"/>
          <w:sz w:val="22"/>
          <w:szCs w:val="22"/>
          <w:u w:val="single"/>
        </w:rPr>
      </w:pPr>
      <w:r w:rsidRPr="0021236A">
        <w:rPr>
          <w:rFonts w:ascii="Calibri" w:eastAsia="Calibri" w:hAnsi="Calibri"/>
          <w:bCs/>
          <w:iCs/>
          <w:color w:val="auto"/>
          <w:sz w:val="22"/>
          <w:szCs w:val="22"/>
          <w:u w:val="single"/>
        </w:rPr>
        <w:t>Coverage</w:t>
      </w:r>
    </w:p>
    <w:p w:rsidR="0021236A" w:rsidRPr="0021236A" w:rsidRDefault="0021236A" w:rsidP="0021236A">
      <w:pPr>
        <w:spacing w:line="276" w:lineRule="auto"/>
        <w:ind w:right="-285"/>
        <w:jc w:val="both"/>
        <w:rPr>
          <w:rFonts w:ascii="Calibri" w:eastAsia="Calibri" w:hAnsi="Calibri"/>
          <w:color w:val="1F497D"/>
          <w:sz w:val="22"/>
          <w:szCs w:val="22"/>
          <w:u w:val="single"/>
        </w:rPr>
      </w:pP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We estimated around 70% of energy consumption data accounted for, due to incomplete time series. Non-energy FAOSTAT data have a very good global coverage.</w:t>
      </w:r>
    </w:p>
    <w:p w:rsidR="0021236A" w:rsidRPr="0021236A" w:rsidRDefault="0021236A" w:rsidP="0021236A">
      <w:pPr>
        <w:spacing w:line="276" w:lineRule="auto"/>
        <w:ind w:right="-285"/>
        <w:jc w:val="both"/>
        <w:rPr>
          <w:rFonts w:ascii="Calibri" w:eastAsia="Calibri" w:hAnsi="Calibri"/>
          <w:bCs/>
          <w:iCs/>
          <w:color w:val="auto"/>
          <w:sz w:val="22"/>
          <w:szCs w:val="22"/>
          <w:u w:val="single"/>
        </w:rPr>
      </w:pPr>
      <w:r w:rsidRPr="0021236A">
        <w:rPr>
          <w:rFonts w:ascii="Calibri" w:eastAsia="Calibri" w:hAnsi="Calibri"/>
          <w:bCs/>
          <w:iCs/>
          <w:color w:val="auto"/>
          <w:sz w:val="22"/>
          <w:szCs w:val="22"/>
          <w:u w:val="single"/>
        </w:rPr>
        <w:t>Comparability across countries</w:t>
      </w:r>
    </w:p>
    <w:p w:rsidR="0021236A" w:rsidRPr="0021236A" w:rsidRDefault="0021236A" w:rsidP="0021236A">
      <w:pPr>
        <w:spacing w:line="276" w:lineRule="auto"/>
        <w:ind w:right="-285"/>
        <w:jc w:val="both"/>
        <w:rPr>
          <w:rFonts w:ascii="Calibri" w:eastAsia="Calibri" w:hAnsi="Calibri"/>
          <w:color w:val="1F497D"/>
          <w:sz w:val="22"/>
          <w:szCs w:val="22"/>
          <w:u w:val="single"/>
        </w:rPr>
      </w:pP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 xml:space="preserve">Yes. There are several global initiatives where UNSD and IEA participate to improve comparability of the energy data collected across countries. One of the main processes is the </w:t>
      </w:r>
      <w:proofErr w:type="spellStart"/>
      <w:r w:rsidRPr="0021236A">
        <w:rPr>
          <w:rFonts w:ascii="Calibri" w:eastAsia="Calibri" w:hAnsi="Calibri"/>
          <w:color w:val="auto"/>
          <w:sz w:val="22"/>
          <w:szCs w:val="22"/>
        </w:rPr>
        <w:t>InterEnerStat</w:t>
      </w:r>
      <w:proofErr w:type="spellEnd"/>
      <w:r w:rsidRPr="0021236A">
        <w:rPr>
          <w:rFonts w:ascii="Calibri" w:eastAsia="Calibri" w:hAnsi="Calibri"/>
          <w:color w:val="auto"/>
          <w:sz w:val="22"/>
          <w:szCs w:val="22"/>
        </w:rPr>
        <w:t xml:space="preserve"> (where we have been invited to take part).</w:t>
      </w:r>
    </w:p>
    <w:p w:rsidR="0021236A" w:rsidRPr="0021236A" w:rsidRDefault="0021236A" w:rsidP="0021236A">
      <w:pPr>
        <w:spacing w:line="276" w:lineRule="auto"/>
        <w:ind w:right="-285"/>
        <w:jc w:val="both"/>
        <w:rPr>
          <w:rFonts w:ascii="Calibri" w:eastAsia="Calibri" w:hAnsi="Calibri"/>
          <w:color w:val="auto"/>
          <w:sz w:val="22"/>
          <w:szCs w:val="22"/>
          <w:u w:val="single"/>
        </w:rPr>
      </w:pPr>
      <w:r w:rsidRPr="0021236A">
        <w:rPr>
          <w:rFonts w:ascii="Calibri" w:eastAsia="Calibri" w:hAnsi="Calibri"/>
          <w:bCs/>
          <w:iCs/>
          <w:color w:val="auto"/>
          <w:sz w:val="22"/>
          <w:szCs w:val="22"/>
          <w:u w:val="single"/>
        </w:rPr>
        <w:t>Sub-national estimates</w:t>
      </w:r>
      <w:r w:rsidRPr="0021236A">
        <w:rPr>
          <w:rFonts w:ascii="Calibri" w:eastAsia="Calibri" w:hAnsi="Calibri"/>
          <w:color w:val="auto"/>
          <w:sz w:val="22"/>
          <w:szCs w:val="22"/>
          <w:u w:val="single"/>
        </w:rPr>
        <w:t xml:space="preserve"> </w:t>
      </w:r>
    </w:p>
    <w:p w:rsidR="0021236A" w:rsidRPr="0021236A" w:rsidRDefault="0021236A" w:rsidP="0021236A">
      <w:pPr>
        <w:spacing w:line="276" w:lineRule="auto"/>
        <w:ind w:right="-285"/>
        <w:jc w:val="both"/>
        <w:rPr>
          <w:rFonts w:ascii="Calibri" w:eastAsia="Calibri" w:hAnsi="Calibri"/>
          <w:color w:val="auto"/>
          <w:sz w:val="22"/>
          <w:szCs w:val="22"/>
        </w:rPr>
      </w:pPr>
    </w:p>
    <w:p w:rsidR="0021236A" w:rsidRPr="0021236A" w:rsidRDefault="0021236A" w:rsidP="0021236A">
      <w:pPr>
        <w:spacing w:after="120" w:line="276" w:lineRule="auto"/>
        <w:ind w:right="-285"/>
        <w:jc w:val="both"/>
        <w:rPr>
          <w:rFonts w:ascii="Calibri" w:eastAsia="Calibri" w:hAnsi="Calibri"/>
          <w:color w:val="auto"/>
          <w:sz w:val="22"/>
          <w:szCs w:val="22"/>
        </w:rPr>
      </w:pPr>
      <w:r w:rsidRPr="0021236A">
        <w:rPr>
          <w:rFonts w:ascii="Calibri" w:eastAsia="Calibri" w:hAnsi="Calibri"/>
          <w:color w:val="auto"/>
          <w:sz w:val="22"/>
          <w:szCs w:val="22"/>
        </w:rPr>
        <w:t>No</w:t>
      </w:r>
    </w:p>
    <w:p w:rsidR="0035634B" w:rsidRDefault="0035634B">
      <w:bookmarkStart w:id="1" w:name="_GoBack"/>
      <w:bookmarkEnd w:id="1"/>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48DC"/>
    <w:multiLevelType w:val="hybridMultilevel"/>
    <w:tmpl w:val="AA643642"/>
    <w:lvl w:ilvl="0" w:tplc="4ABEC1F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DE923AA"/>
    <w:multiLevelType w:val="hybridMultilevel"/>
    <w:tmpl w:val="B152261E"/>
    <w:lvl w:ilvl="0" w:tplc="08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36A"/>
    <w:rsid w:val="0021236A"/>
    <w:rsid w:val="0035634B"/>
    <w:rsid w:val="00374D74"/>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2015-09-22T13:31:00Z</dcterms:created>
  <dcterms:modified xsi:type="dcterms:W3CDTF">2015-09-22T13:31:00Z</dcterms:modified>
</cp:coreProperties>
</file>